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text" w:horzAnchor="page" w:tblpX="8949" w:tblpY="-950"/>
        <w:tblOverlap w:val="never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62"/>
      </w:tblGrid>
      <w:tr w:rsidR="00466479" w14:paraId="2D2E2167" w14:textId="77777777" w:rsidTr="00F214A5">
        <w:trPr>
          <w:trHeight w:val="453"/>
        </w:trPr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0" w:type="dxa"/>
            </w:tcMar>
          </w:tcPr>
          <w:p w14:paraId="53A3F73B" w14:textId="77777777" w:rsidR="00466479" w:rsidRDefault="00466479" w:rsidP="00F214A5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  <w:r>
              <w:rPr>
                <w:rFonts w:ascii="Gill Sans MT" w:hAnsi="Gill Sans MT"/>
                <w:sz w:val="14"/>
              </w:rPr>
              <w:t>SECRETARÍA GENERAL</w:t>
            </w:r>
          </w:p>
          <w:p w14:paraId="545071E4" w14:textId="77777777" w:rsidR="00466479" w:rsidRDefault="00466479" w:rsidP="00F214A5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  <w:r>
              <w:rPr>
                <w:rFonts w:ascii="Gill Sans MT" w:hAnsi="Gill Sans MT"/>
                <w:sz w:val="14"/>
              </w:rPr>
              <w:t>DE PESCA</w:t>
            </w:r>
          </w:p>
        </w:tc>
      </w:tr>
      <w:tr w:rsidR="00466479" w14:paraId="4D63882D" w14:textId="77777777" w:rsidTr="00F214A5">
        <w:trPr>
          <w:trHeight w:hRule="exact" w:val="79"/>
        </w:trPr>
        <w:tc>
          <w:tcPr>
            <w:tcW w:w="2062" w:type="dxa"/>
            <w:tcBorders>
              <w:top w:val="single" w:sz="4" w:space="0" w:color="auto"/>
            </w:tcBorders>
          </w:tcPr>
          <w:p w14:paraId="5DC443A2" w14:textId="77777777" w:rsidR="00466479" w:rsidRDefault="00466479" w:rsidP="00F214A5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</w:p>
        </w:tc>
      </w:tr>
      <w:tr w:rsidR="00466479" w14:paraId="0EDD33CC" w14:textId="77777777" w:rsidTr="00F214A5">
        <w:trPr>
          <w:trHeight w:val="294"/>
        </w:trPr>
        <w:tc>
          <w:tcPr>
            <w:tcW w:w="2062" w:type="dxa"/>
            <w:tcMar>
              <w:top w:w="57" w:type="dxa"/>
              <w:left w:w="57" w:type="dxa"/>
              <w:bottom w:w="57" w:type="dxa"/>
            </w:tcMar>
          </w:tcPr>
          <w:p w14:paraId="7E6BF684" w14:textId="77777777" w:rsidR="00466479" w:rsidRDefault="00466479" w:rsidP="00F214A5">
            <w:pPr>
              <w:pStyle w:val="Textonotapie"/>
              <w:tabs>
                <w:tab w:val="left" w:pos="1021"/>
                <w:tab w:val="left" w:pos="8080"/>
              </w:tabs>
              <w:ind w:right="-82"/>
              <w:rPr>
                <w:rFonts w:ascii="Gill Sans MT" w:hAnsi="Gill Sans MT"/>
                <w:sz w:val="14"/>
              </w:rPr>
            </w:pPr>
          </w:p>
        </w:tc>
      </w:tr>
    </w:tbl>
    <w:p w14:paraId="5718C6BD" w14:textId="77777777" w:rsidR="00466479" w:rsidRDefault="00466479" w:rsidP="00466479">
      <w:pPr>
        <w:pStyle w:val="Textonotapie"/>
        <w:tabs>
          <w:tab w:val="left" w:pos="1021"/>
          <w:tab w:val="left" w:pos="8080"/>
        </w:tabs>
        <w:ind w:left="426"/>
        <w:rPr>
          <w:rFonts w:ascii="Gill Sans MT" w:hAnsi="Gill Sans MT"/>
          <w:snapToGrid w:val="0"/>
          <w:color w:val="000000"/>
          <w:sz w:val="18"/>
          <w:lang w:val="es-ES"/>
        </w:rPr>
      </w:pPr>
      <w:r>
        <w:rPr>
          <w:rFonts w:ascii="Arial" w:hAnsi="Arial"/>
          <w:noProof/>
        </w:rPr>
        <w:drawing>
          <wp:anchor distT="0" distB="0" distL="114300" distR="114300" simplePos="0" relativeHeight="251659264" behindDoc="1" locked="0" layoutInCell="1" allowOverlap="1" wp14:anchorId="0FDFFACB" wp14:editId="6627FFE5">
            <wp:simplePos x="0" y="0"/>
            <wp:positionH relativeFrom="column">
              <wp:posOffset>-670560</wp:posOffset>
            </wp:positionH>
            <wp:positionV relativeFrom="paragraph">
              <wp:posOffset>-394970</wp:posOffset>
            </wp:positionV>
            <wp:extent cx="762000" cy="786765"/>
            <wp:effectExtent l="0" t="0" r="0" b="0"/>
            <wp:wrapNone/>
            <wp:docPr id="1224930426" name="Imagen 1" descr="Imagen que contiene tabla, dibujo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4930426" name="Imagen 1" descr="Imagen que contiene tabla, dibujo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786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0B27A1">
        <w:rPr>
          <w:rFonts w:ascii="Gill Sans MT" w:hAnsi="Gill Sans MT"/>
          <w:snapToGrid w:val="0"/>
          <w:color w:val="000000"/>
          <w:sz w:val="18"/>
          <w:lang w:val="es-ES"/>
        </w:rPr>
        <w:t>MINISTERIO</w:t>
      </w:r>
    </w:p>
    <w:p w14:paraId="6C8D3240" w14:textId="77777777" w:rsidR="00466479" w:rsidRDefault="00466479" w:rsidP="00466479">
      <w:pPr>
        <w:pStyle w:val="Textonotapie"/>
        <w:tabs>
          <w:tab w:val="left" w:pos="1021"/>
          <w:tab w:val="left" w:pos="8080"/>
        </w:tabs>
        <w:ind w:left="426"/>
        <w:rPr>
          <w:rFonts w:ascii="Gill Sans MT" w:hAnsi="Gill Sans MT"/>
          <w:snapToGrid w:val="0"/>
          <w:color w:val="000000"/>
          <w:sz w:val="18"/>
          <w:lang w:val="es-ES"/>
        </w:rPr>
      </w:pPr>
      <w:r w:rsidRPr="000B27A1">
        <w:rPr>
          <w:rFonts w:ascii="Gill Sans MT" w:hAnsi="Gill Sans MT"/>
          <w:snapToGrid w:val="0"/>
          <w:color w:val="000000"/>
          <w:sz w:val="18"/>
          <w:lang w:val="es-ES"/>
        </w:rPr>
        <w:t>DE AGRICULTURA, PESCA</w:t>
      </w:r>
    </w:p>
    <w:p w14:paraId="7FCDA92C" w14:textId="77777777" w:rsidR="00466479" w:rsidRPr="000B27A1" w:rsidRDefault="00466479" w:rsidP="00466479">
      <w:pPr>
        <w:pStyle w:val="Textonotapie"/>
        <w:tabs>
          <w:tab w:val="left" w:pos="1021"/>
          <w:tab w:val="left" w:pos="8080"/>
        </w:tabs>
        <w:ind w:left="426"/>
        <w:rPr>
          <w:rFonts w:ascii="Gill Sans MT" w:hAnsi="Gill Sans MT"/>
          <w:snapToGrid w:val="0"/>
          <w:color w:val="000000"/>
          <w:sz w:val="18"/>
          <w:lang w:val="es-ES"/>
        </w:rPr>
      </w:pPr>
      <w:r w:rsidRPr="000B27A1">
        <w:rPr>
          <w:rFonts w:ascii="Gill Sans MT" w:hAnsi="Gill Sans MT"/>
          <w:snapToGrid w:val="0"/>
          <w:color w:val="000000"/>
          <w:sz w:val="18"/>
          <w:lang w:val="es-ES"/>
        </w:rPr>
        <w:t>Y ALIMENTACIÓN</w:t>
      </w:r>
    </w:p>
    <w:p w14:paraId="12376088" w14:textId="77777777" w:rsidR="00466479" w:rsidRDefault="00466479" w:rsidP="00727A68">
      <w:pPr>
        <w:jc w:val="both"/>
        <w:rPr>
          <w:b/>
          <w:bCs/>
        </w:rPr>
      </w:pPr>
    </w:p>
    <w:p w14:paraId="31961078" w14:textId="77777777" w:rsidR="00466479" w:rsidRDefault="00466479" w:rsidP="00727A68">
      <w:pPr>
        <w:jc w:val="both"/>
        <w:rPr>
          <w:b/>
          <w:bCs/>
        </w:rPr>
      </w:pPr>
    </w:p>
    <w:p w14:paraId="23D10CEE" w14:textId="717F0956" w:rsidR="00727A68" w:rsidRPr="00727A68" w:rsidRDefault="00727A68" w:rsidP="00727A68">
      <w:pPr>
        <w:jc w:val="both"/>
        <w:rPr>
          <w:b/>
          <w:bCs/>
        </w:rPr>
      </w:pPr>
      <w:r w:rsidRPr="00727A68">
        <w:rPr>
          <w:b/>
          <w:bCs/>
        </w:rPr>
        <w:t xml:space="preserve">Resolución de XX de XXXX de 202X, de la Secretaría General de Pesca, por la que se establecen las disposiciones relativas a la reducción del plazo de remisión de la notificación previa de entrada a puerto. </w:t>
      </w:r>
    </w:p>
    <w:p w14:paraId="1DF6FAE7" w14:textId="3BFB3A77" w:rsidR="00727A68" w:rsidRPr="00151B28" w:rsidRDefault="00727A68" w:rsidP="00727A68">
      <w:pPr>
        <w:spacing w:after="240"/>
        <w:jc w:val="both"/>
        <w:rPr>
          <w:b/>
          <w:bCs/>
        </w:rPr>
      </w:pPr>
      <w:r>
        <w:t xml:space="preserve">El </w:t>
      </w:r>
      <w:r w:rsidRPr="00151B28">
        <w:t xml:space="preserve">Reglamento (UE) 2023/2842 del Parlamento Europeo y del Consejo, de 22 de noviembre de 2023, por el que se modifica el Reglamento (CE) </w:t>
      </w:r>
      <w:proofErr w:type="spellStart"/>
      <w:r w:rsidRPr="00151B28">
        <w:t>nº</w:t>
      </w:r>
      <w:proofErr w:type="spellEnd"/>
      <w:r w:rsidRPr="00151B28">
        <w:t xml:space="preserve"> 1224/2009 del Consejo, y se modifican los Reglamentos (CE) </w:t>
      </w:r>
      <w:proofErr w:type="spellStart"/>
      <w:r w:rsidRPr="00151B28">
        <w:t>nº</w:t>
      </w:r>
      <w:proofErr w:type="spellEnd"/>
      <w:r w:rsidRPr="00151B28">
        <w:t xml:space="preserve"> 1967/2006 y (CE) </w:t>
      </w:r>
      <w:proofErr w:type="spellStart"/>
      <w:r w:rsidRPr="00151B28">
        <w:t>nº</w:t>
      </w:r>
      <w:proofErr w:type="spellEnd"/>
      <w:r w:rsidRPr="00151B28">
        <w:t xml:space="preserve"> 1005/2008 del Consejo y los Reglamentos (UE) 2016/1139, (UE) 2017/2403 y (UE) 2019/473 del Parlamento Europeo y del Consejo en lo que respecta al control de la pesca</w:t>
      </w:r>
      <w:r w:rsidR="00010DE0">
        <w:t>,</w:t>
      </w:r>
      <w:r>
        <w:t xml:space="preserve"> establece en su artículo 1 un conjunto de modificaciones del </w:t>
      </w:r>
      <w:r w:rsidRPr="00F65020">
        <w:t>Reglamento (CE) n.º 1224/2009.</w:t>
      </w:r>
    </w:p>
    <w:p w14:paraId="270441E4" w14:textId="3AD0DCB8" w:rsidR="00727A68" w:rsidRDefault="00727A68" w:rsidP="00727A68">
      <w:pPr>
        <w:spacing w:after="240"/>
        <w:jc w:val="both"/>
      </w:pPr>
      <w:r>
        <w:t xml:space="preserve">En concreto, en relación con la notificación previa regulada </w:t>
      </w:r>
      <w:r w:rsidR="00010DE0">
        <w:t xml:space="preserve">en </w:t>
      </w:r>
      <w:r>
        <w:t xml:space="preserve">el artículo 17 del citado Reglamento (CE) </w:t>
      </w:r>
      <w:proofErr w:type="spellStart"/>
      <w:r>
        <w:t>nº</w:t>
      </w:r>
      <w:proofErr w:type="spellEnd"/>
      <w:r>
        <w:t xml:space="preserve"> 1224/2009, se establece </w:t>
      </w:r>
      <w:r w:rsidR="00010DE0">
        <w:t xml:space="preserve">en su apartado 1 </w:t>
      </w:r>
      <w:r>
        <w:t>que, s</w:t>
      </w:r>
      <w:r w:rsidRPr="002407FF">
        <w:t>in perjuicio de las disposiciones específicas contenidas en los planes plurianuales, los capitanes de buques pesqueros de la Unión de eslora total igual o superior a 12 metros presentarán por medios electrónicos a las autoridades competentes de su Estado miembro de pabellón, al menos cuatro horas antes de la hora estimada de llegada a un puerto o lugar de desembarque de un Estado miembro,</w:t>
      </w:r>
      <w:r>
        <w:t xml:space="preserve"> la información contenida en dicho </w:t>
      </w:r>
      <w:r w:rsidR="00010DE0">
        <w:t>precept</w:t>
      </w:r>
      <w:r>
        <w:t xml:space="preserve">o. </w:t>
      </w:r>
    </w:p>
    <w:p w14:paraId="696096BA" w14:textId="2E85820C" w:rsidR="00727A68" w:rsidRDefault="00727A68" w:rsidP="00727A68">
      <w:pPr>
        <w:spacing w:after="240"/>
        <w:jc w:val="both"/>
      </w:pPr>
      <w:r w:rsidRPr="002407FF">
        <w:t>Además, se</w:t>
      </w:r>
      <w:r>
        <w:t xml:space="preserve"> in</w:t>
      </w:r>
      <w:r w:rsidR="00010DE0">
        <w:t>troduce</w:t>
      </w:r>
      <w:r>
        <w:t xml:space="preserve"> un nuevo apartado </w:t>
      </w:r>
      <w:r w:rsidRPr="00151B28">
        <w:t>1 </w:t>
      </w:r>
      <w:r>
        <w:t xml:space="preserve"> </w:t>
      </w:r>
      <w:r w:rsidRPr="00151B28">
        <w:rPr>
          <w:i/>
          <w:iCs/>
        </w:rPr>
        <w:t>bis</w:t>
      </w:r>
      <w:r>
        <w:t xml:space="preserve">, </w:t>
      </w:r>
      <w:r w:rsidR="00010DE0">
        <w:t xml:space="preserve">conforme al </w:t>
      </w:r>
      <w:r>
        <w:t xml:space="preserve">que </w:t>
      </w:r>
      <w:r w:rsidR="00010DE0">
        <w:t>“</w:t>
      </w:r>
      <w:r w:rsidR="00010DE0" w:rsidRPr="00F65020">
        <w:rPr>
          <w:i/>
          <w:iCs/>
        </w:rPr>
        <w:t>E</w:t>
      </w:r>
      <w:r w:rsidRPr="00F65020">
        <w:rPr>
          <w:i/>
          <w:iCs/>
        </w:rPr>
        <w:t>l Estado miembro ribereño en el que tenga lugar el desembarque podrá establecer un período más breve para la notificación previa a que se refiere el apartado 1 en lo relativo a determinadas categorías de buques pesqueros de la Unión, teniendo en cuenta el tipo de productos de la pesca y la distancia entre los caladeros y el puerto o lugar de desembarque, siempre que dicho período de notificación previa más breve no perjudique la capacidad de dicho Estado miembro para llevar a cabo inspecciones</w:t>
      </w:r>
      <w:r w:rsidR="00010DE0">
        <w:rPr>
          <w:i/>
          <w:iCs/>
        </w:rPr>
        <w:t xml:space="preserve">. </w:t>
      </w:r>
      <w:r w:rsidR="00010DE0" w:rsidRPr="00010DE0">
        <w:rPr>
          <w:i/>
          <w:iCs/>
        </w:rPr>
        <w:t>Dicho Estado miembro ribereño hará público ese plazo de notificación previa más breve y lo comunicará sin demora a la Comisión. La Comisión lo publicará en su sitio web</w:t>
      </w:r>
      <w:r w:rsidR="00010DE0">
        <w:t>”</w:t>
      </w:r>
      <w:r w:rsidRPr="00151B28">
        <w:t>.</w:t>
      </w:r>
    </w:p>
    <w:p w14:paraId="666EADAA" w14:textId="34F21068" w:rsidR="00372F1F" w:rsidRPr="00372F1F" w:rsidRDefault="00372F1F" w:rsidP="00372F1F">
      <w:pPr>
        <w:spacing w:after="240"/>
        <w:jc w:val="both"/>
      </w:pPr>
      <w:r w:rsidRPr="00372F1F">
        <w:t xml:space="preserve">La flota pesquera española que faena en los caladeros nacionales se caracteriza por operar en zonas cuya distancia a puerto es inferior a estas cuatro horas </w:t>
      </w:r>
      <w:r w:rsidR="00783FF8">
        <w:t xml:space="preserve">previstas, con carácter general, </w:t>
      </w:r>
      <w:r w:rsidRPr="00372F1F">
        <w:t xml:space="preserve">en </w:t>
      </w:r>
      <w:r w:rsidR="00783FF8">
        <w:t>la normativa</w:t>
      </w:r>
      <w:r w:rsidRPr="00372F1F">
        <w:t xml:space="preserve"> de la Unión Europea. Del mismo modo, ciertas actividades pesqueras </w:t>
      </w:r>
      <w:r w:rsidR="006F63A9">
        <w:t>se desarrollan</w:t>
      </w:r>
      <w:r w:rsidRPr="00372F1F">
        <w:t xml:space="preserve"> en un periodo de tiempo inferior a estas cuatro horas.</w:t>
      </w:r>
    </w:p>
    <w:p w14:paraId="3F09416D" w14:textId="7A1FBEAE" w:rsidR="00372F1F" w:rsidRPr="00372F1F" w:rsidRDefault="006F63A9" w:rsidP="00372F1F">
      <w:pPr>
        <w:spacing w:after="240"/>
        <w:jc w:val="both"/>
      </w:pPr>
      <w:r>
        <w:lastRenderedPageBreak/>
        <w:t>Por ello, c</w:t>
      </w:r>
      <w:r w:rsidR="00372F1F" w:rsidRPr="00372F1F">
        <w:t xml:space="preserve">on el fin de adecuar el plazo </w:t>
      </w:r>
      <w:r>
        <w:t>para realizar</w:t>
      </w:r>
      <w:r w:rsidR="00372F1F" w:rsidRPr="00372F1F">
        <w:t xml:space="preserve"> esta notificación</w:t>
      </w:r>
      <w:r w:rsidR="00C7512C">
        <w:t xml:space="preserve"> previa</w:t>
      </w:r>
      <w:r w:rsidR="00372F1F" w:rsidRPr="00372F1F">
        <w:t xml:space="preserve"> a la naturaleza de las actividades pesqueras de la flota </w:t>
      </w:r>
      <w:r>
        <w:t>española</w:t>
      </w:r>
      <w:r w:rsidR="00372F1F" w:rsidRPr="00372F1F">
        <w:t xml:space="preserve">, se dispone por la presente </w:t>
      </w:r>
      <w:r w:rsidR="00372F1F">
        <w:t>resolución</w:t>
      </w:r>
      <w:r w:rsidR="00372F1F" w:rsidRPr="00372F1F">
        <w:t xml:space="preserve"> la reducción del plazo fijado de 4 horas a 2 horas y media</w:t>
      </w:r>
      <w:r>
        <w:t xml:space="preserve">, de acuerdo con la habilitación prevista en el apartado 1 </w:t>
      </w:r>
      <w:r w:rsidRPr="00F65020">
        <w:rPr>
          <w:i/>
          <w:iCs/>
        </w:rPr>
        <w:t>bis</w:t>
      </w:r>
      <w:r>
        <w:t xml:space="preserve"> del artículo 17 del Reglamento (CE) </w:t>
      </w:r>
      <w:proofErr w:type="spellStart"/>
      <w:r>
        <w:t>nº</w:t>
      </w:r>
      <w:proofErr w:type="spellEnd"/>
      <w:r>
        <w:t xml:space="preserve"> 1224/2009, conforme a la redacción dada por el </w:t>
      </w:r>
      <w:r w:rsidRPr="00151B28">
        <w:t>Reglamento (UE) 2023/2842</w:t>
      </w:r>
      <w:r>
        <w:t>, que entrará en vigor el 10 de enero de 2026</w:t>
      </w:r>
      <w:r w:rsidR="00372F1F" w:rsidRPr="00372F1F">
        <w:t>.</w:t>
      </w:r>
    </w:p>
    <w:p w14:paraId="611FD74D" w14:textId="18EC4B56" w:rsidR="00372F1F" w:rsidRPr="00372F1F" w:rsidRDefault="00372F1F" w:rsidP="00372F1F">
      <w:pPr>
        <w:spacing w:after="240"/>
        <w:jc w:val="both"/>
      </w:pPr>
      <w:r w:rsidRPr="00372F1F">
        <w:t xml:space="preserve">El ejercicio del control de la flota, así como la labor inspectora en puertos, no se ven afectados por la reducción de este plazo de notificación, </w:t>
      </w:r>
      <w:r w:rsidR="00C7512C">
        <w:t>que permite seguir efectuándolos con total normalidad y en cumplimiento de la normativa aplicable</w:t>
      </w:r>
      <w:r w:rsidRPr="00372F1F">
        <w:t>.</w:t>
      </w:r>
    </w:p>
    <w:p w14:paraId="7B7B5718" w14:textId="49834190" w:rsidR="00727A68" w:rsidRDefault="00727A68" w:rsidP="00727A68">
      <w:pPr>
        <w:spacing w:after="240"/>
        <w:jc w:val="both"/>
      </w:pPr>
      <w:r>
        <w:t xml:space="preserve">Por todo lo expuesto, en la presente </w:t>
      </w:r>
      <w:r w:rsidR="00372F1F">
        <w:t>r</w:t>
      </w:r>
      <w:r>
        <w:t>esolución se establece una reducción de la antelación mínima con la que debe presentarse, por medios electrónicos, la notificación previa de regreso a puerto por parte de los capitanes de buques españoles.</w:t>
      </w:r>
    </w:p>
    <w:p w14:paraId="2239F630" w14:textId="57EE594A" w:rsidR="00727A68" w:rsidRDefault="00C7512C" w:rsidP="00727A68">
      <w:pPr>
        <w:spacing w:after="240"/>
        <w:jc w:val="both"/>
      </w:pPr>
      <w:r>
        <w:t>Por todo</w:t>
      </w:r>
      <w:r w:rsidR="00727A68" w:rsidRPr="00727A68">
        <w:t xml:space="preserve"> lo expuesto, esta Secretaría General de Pesca, </w:t>
      </w:r>
      <w:r>
        <w:t xml:space="preserve">oído el sector, </w:t>
      </w:r>
      <w:r w:rsidR="00727A68" w:rsidRPr="00727A68">
        <w:t>resuelve:</w:t>
      </w:r>
    </w:p>
    <w:p w14:paraId="6578CBB6" w14:textId="6DE45887" w:rsidR="00727A68" w:rsidRDefault="002B1733" w:rsidP="00727A68">
      <w:pPr>
        <w:spacing w:after="240"/>
        <w:jc w:val="both"/>
        <w:rPr>
          <w:b/>
          <w:bCs/>
        </w:rPr>
      </w:pPr>
      <w:r>
        <w:rPr>
          <w:b/>
          <w:bCs/>
        </w:rPr>
        <w:t>Primero</w:t>
      </w:r>
      <w:r w:rsidR="00727A68" w:rsidRPr="004E781C">
        <w:rPr>
          <w:b/>
          <w:bCs/>
        </w:rPr>
        <w:t xml:space="preserve">. </w:t>
      </w:r>
    </w:p>
    <w:p w14:paraId="40E93711" w14:textId="00832708" w:rsidR="00727A68" w:rsidRDefault="003F18E2" w:rsidP="00727A68">
      <w:pPr>
        <w:jc w:val="both"/>
      </w:pPr>
      <w:r>
        <w:t>De acuerdo con lo previsto en el</w:t>
      </w:r>
      <w:r w:rsidRPr="003F18E2">
        <w:t xml:space="preserve"> </w:t>
      </w:r>
      <w:r w:rsidRPr="00B7174E">
        <w:t>artículo 17, apartado 1</w:t>
      </w:r>
      <w:r>
        <w:t xml:space="preserve"> </w:t>
      </w:r>
      <w:r w:rsidRPr="009B1F8B">
        <w:rPr>
          <w:i/>
          <w:iCs/>
        </w:rPr>
        <w:t>bis</w:t>
      </w:r>
      <w:r w:rsidRPr="00B7174E">
        <w:t xml:space="preserve">, del Reglamento (CE) n. </w:t>
      </w:r>
      <w:r w:rsidRPr="00F65020">
        <w:rPr>
          <w:vertAlign w:val="superscript"/>
        </w:rPr>
        <w:t>o</w:t>
      </w:r>
      <w:r w:rsidRPr="00B7174E">
        <w:t xml:space="preserve"> 1224/2009</w:t>
      </w:r>
      <w:r>
        <w:t xml:space="preserve"> </w:t>
      </w:r>
      <w:r w:rsidRPr="003F18E2">
        <w:t>del Consejo, de 20 de noviembre de 2009, por el que se establece un régimen comunitario de control para garantizar el cumplimiento de las normas de la política pesquera común</w:t>
      </w:r>
      <w:r>
        <w:t xml:space="preserve">, se reduce </w:t>
      </w:r>
      <w:r w:rsidR="00214527">
        <w:t>e</w:t>
      </w:r>
      <w:r w:rsidR="00727A68" w:rsidRPr="00B7174E">
        <w:t xml:space="preserve">l período mínimo </w:t>
      </w:r>
      <w:r>
        <w:t>para la</w:t>
      </w:r>
      <w:r w:rsidRPr="00B7174E">
        <w:t xml:space="preserve"> </w:t>
      </w:r>
      <w:r w:rsidR="00727A68" w:rsidRPr="00B7174E">
        <w:t xml:space="preserve">notificación previa a dos horas y media para los capitanes de buques pesqueros </w:t>
      </w:r>
      <w:r w:rsidR="00727A68">
        <w:t>españoles</w:t>
      </w:r>
      <w:r w:rsidR="00727A68" w:rsidRPr="00B7174E">
        <w:t xml:space="preserve"> cuya eslora total sea igual o superior a 12 metros</w:t>
      </w:r>
      <w:r w:rsidR="00727A68">
        <w:t xml:space="preserve">. </w:t>
      </w:r>
    </w:p>
    <w:p w14:paraId="78621BFF" w14:textId="08651EDF" w:rsidR="002B1733" w:rsidRDefault="002B1733" w:rsidP="00727A68">
      <w:pPr>
        <w:spacing w:after="240"/>
        <w:jc w:val="both"/>
        <w:rPr>
          <w:b/>
          <w:bCs/>
        </w:rPr>
      </w:pPr>
      <w:r>
        <w:rPr>
          <w:b/>
          <w:bCs/>
        </w:rPr>
        <w:t>Segundo</w:t>
      </w:r>
      <w:r w:rsidR="00727A68" w:rsidRPr="00A63846">
        <w:rPr>
          <w:b/>
          <w:bCs/>
        </w:rPr>
        <w:t xml:space="preserve">. </w:t>
      </w:r>
    </w:p>
    <w:p w14:paraId="2F06D7C0" w14:textId="62DFD75C" w:rsidR="002B1733" w:rsidRPr="00372F1F" w:rsidRDefault="00372F1F" w:rsidP="00727A68">
      <w:pPr>
        <w:spacing w:after="240"/>
        <w:jc w:val="both"/>
      </w:pPr>
      <w:r>
        <w:t>Esta</w:t>
      </w:r>
      <w:r w:rsidRPr="00372F1F">
        <w:t xml:space="preserve"> </w:t>
      </w:r>
      <w:r w:rsidR="003F18E2">
        <w:t>resolución</w:t>
      </w:r>
      <w:r w:rsidR="003F18E2" w:rsidRPr="00372F1F">
        <w:t xml:space="preserve"> </w:t>
      </w:r>
      <w:r w:rsidRPr="00372F1F">
        <w:t xml:space="preserve">no afectará </w:t>
      </w:r>
      <w:r>
        <w:t>a</w:t>
      </w:r>
      <w:r w:rsidRPr="00372F1F">
        <w:t xml:space="preserve"> la vigencia de aquellas resoluciones preexistentes que </w:t>
      </w:r>
      <w:r>
        <w:t>establezcan</w:t>
      </w:r>
      <w:r w:rsidRPr="00372F1F">
        <w:t xml:space="preserve"> plazos</w:t>
      </w:r>
      <w:r>
        <w:t xml:space="preserve"> </w:t>
      </w:r>
      <w:r w:rsidRPr="00372F1F">
        <w:t>inferiores para la</w:t>
      </w:r>
      <w:r>
        <w:t xml:space="preserve"> notificación previa de</w:t>
      </w:r>
      <w:r w:rsidRPr="00372F1F">
        <w:t xml:space="preserve"> </w:t>
      </w:r>
      <w:r>
        <w:t>entrada</w:t>
      </w:r>
      <w:r w:rsidRPr="00372F1F">
        <w:t xml:space="preserve"> a puerto de buques pesqueros</w:t>
      </w:r>
      <w:r w:rsidR="003F18E2">
        <w:t xml:space="preserve"> españoles</w:t>
      </w:r>
      <w:r w:rsidRPr="00372F1F">
        <w:t xml:space="preserve">, siempre que estos se encuentren vinculados a la captura de especies específicas o que posean características técnicas particulares. </w:t>
      </w:r>
    </w:p>
    <w:p w14:paraId="36B14EFE" w14:textId="38CC2FD6" w:rsidR="00C7512C" w:rsidRDefault="002B1733" w:rsidP="00727A68">
      <w:pPr>
        <w:spacing w:after="240"/>
        <w:jc w:val="both"/>
        <w:rPr>
          <w:b/>
          <w:bCs/>
        </w:rPr>
      </w:pPr>
      <w:r>
        <w:rPr>
          <w:b/>
          <w:bCs/>
        </w:rPr>
        <w:t xml:space="preserve">Tercero. </w:t>
      </w:r>
    </w:p>
    <w:p w14:paraId="45FBCCF7" w14:textId="7DC4575F" w:rsidR="00727A68" w:rsidRPr="00F65020" w:rsidRDefault="00C7512C" w:rsidP="00727A68">
      <w:pPr>
        <w:spacing w:after="240"/>
        <w:jc w:val="both"/>
      </w:pPr>
      <w:r w:rsidRPr="00F65020">
        <w:t xml:space="preserve">Esta resolución surtirá efectos a partir del día siguiente al de su publicación en el </w:t>
      </w:r>
      <w:r w:rsidRPr="00C7512C">
        <w:t>«</w:t>
      </w:r>
      <w:r w:rsidRPr="00F65020">
        <w:t>Boletín Oficial del Estado</w:t>
      </w:r>
      <w:r w:rsidRPr="00C7512C">
        <w:t>»</w:t>
      </w:r>
      <w:r w:rsidRPr="00F65020">
        <w:t>.</w:t>
      </w:r>
      <w:r w:rsidR="00214527" w:rsidRPr="00F65020">
        <w:t xml:space="preserve"> </w:t>
      </w:r>
    </w:p>
    <w:p w14:paraId="6038917A" w14:textId="1219E220" w:rsidR="00727A68" w:rsidRPr="00727A68" w:rsidRDefault="00727A68" w:rsidP="00727A68">
      <w:pPr>
        <w:spacing w:after="240"/>
        <w:jc w:val="both"/>
      </w:pPr>
      <w:r w:rsidRPr="00727A68">
        <w:t xml:space="preserve">Esta </w:t>
      </w:r>
      <w:r w:rsidR="00372F1F">
        <w:t>r</w:t>
      </w:r>
      <w:r w:rsidRPr="00727A68">
        <w:t xml:space="preserve">esolución no pone fin a la vía administrativa, por lo que, en el plazo de un mes, se podrá interponer recurso de alzada ante el </w:t>
      </w:r>
      <w:proofErr w:type="gramStart"/>
      <w:r w:rsidRPr="00727A68">
        <w:t>Ministro</w:t>
      </w:r>
      <w:proofErr w:type="gramEnd"/>
      <w:r w:rsidRPr="00727A68">
        <w:t xml:space="preserve"> de Agricultura, Pesca y Alimentación</w:t>
      </w:r>
      <w:r w:rsidR="008923C6">
        <w:t>,</w:t>
      </w:r>
      <w:r w:rsidRPr="00727A68">
        <w:t xml:space="preserve"> de conformidad con lo establecido en los artículos 121 y 122 en </w:t>
      </w:r>
      <w:r w:rsidRPr="00727A68">
        <w:lastRenderedPageBreak/>
        <w:t>relación con el 112.1 de la Ley 39/2015, de 1 de octubre, del Procedimiento Administrativo Común de las Administraciones Públicas.</w:t>
      </w:r>
    </w:p>
    <w:p w14:paraId="40526C52" w14:textId="79FF0716" w:rsidR="00727A68" w:rsidRDefault="00727A68" w:rsidP="00F65020">
      <w:pPr>
        <w:spacing w:after="240"/>
        <w:jc w:val="both"/>
      </w:pPr>
      <w:r w:rsidRPr="00727A68">
        <w:t xml:space="preserve">Madrid, </w:t>
      </w:r>
      <w:r>
        <w:t>XX de XXXX de 202X</w:t>
      </w:r>
      <w:r w:rsidRPr="00727A68">
        <w:t>.</w:t>
      </w:r>
      <w:r>
        <w:t xml:space="preserve"> </w:t>
      </w:r>
      <w:r w:rsidRPr="00727A68">
        <w:t>–</w:t>
      </w:r>
      <w:r>
        <w:t xml:space="preserve"> </w:t>
      </w:r>
      <w:r w:rsidRPr="00727A68">
        <w:t xml:space="preserve">La </w:t>
      </w:r>
      <w:proofErr w:type="gramStart"/>
      <w:r w:rsidRPr="00727A68">
        <w:t>Secretaria General</w:t>
      </w:r>
      <w:proofErr w:type="gramEnd"/>
      <w:r w:rsidRPr="00727A68">
        <w:t xml:space="preserve"> de Pesca, </w:t>
      </w:r>
      <w:r>
        <w:t xml:space="preserve">María Isabel Artime García. </w:t>
      </w:r>
    </w:p>
    <w:sectPr w:rsidR="00727A6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90E9CF" w14:textId="77777777" w:rsidR="00E5570E" w:rsidRDefault="00E5570E" w:rsidP="00466479">
      <w:pPr>
        <w:spacing w:after="0" w:line="240" w:lineRule="auto"/>
      </w:pPr>
      <w:r>
        <w:separator/>
      </w:r>
    </w:p>
  </w:endnote>
  <w:endnote w:type="continuationSeparator" w:id="0">
    <w:p w14:paraId="19A58AAF" w14:textId="77777777" w:rsidR="00E5570E" w:rsidRDefault="00E5570E" w:rsidP="004664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CCDFDF" w14:textId="77777777" w:rsidR="00E5570E" w:rsidRDefault="00E5570E" w:rsidP="00466479">
      <w:pPr>
        <w:spacing w:after="0" w:line="240" w:lineRule="auto"/>
      </w:pPr>
      <w:r>
        <w:separator/>
      </w:r>
    </w:p>
  </w:footnote>
  <w:footnote w:type="continuationSeparator" w:id="0">
    <w:p w14:paraId="38DE3513" w14:textId="77777777" w:rsidR="00E5570E" w:rsidRDefault="00E5570E" w:rsidP="0046647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7A68"/>
    <w:rsid w:val="00010DE0"/>
    <w:rsid w:val="000F5A63"/>
    <w:rsid w:val="00153FC6"/>
    <w:rsid w:val="0015774C"/>
    <w:rsid w:val="00214527"/>
    <w:rsid w:val="002B1733"/>
    <w:rsid w:val="00372F1F"/>
    <w:rsid w:val="003F18E2"/>
    <w:rsid w:val="00466479"/>
    <w:rsid w:val="004965D0"/>
    <w:rsid w:val="006F63A9"/>
    <w:rsid w:val="00727A68"/>
    <w:rsid w:val="00783FF8"/>
    <w:rsid w:val="008923C6"/>
    <w:rsid w:val="009A5CCB"/>
    <w:rsid w:val="00AD0FD8"/>
    <w:rsid w:val="00C7512C"/>
    <w:rsid w:val="00E5570E"/>
    <w:rsid w:val="00F6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91C11"/>
  <w15:chartTrackingRefBased/>
  <w15:docId w15:val="{8B812C7D-349B-4633-8707-50D55AA60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727A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27A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727A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27A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27A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27A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27A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27A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27A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27A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27A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727A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27A6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27A6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27A6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27A6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27A6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27A6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27A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27A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27A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27A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27A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27A6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27A6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27A6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27A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27A6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27A68"/>
    <w:rPr>
      <w:b/>
      <w:bCs/>
      <w:smallCaps/>
      <w:color w:val="0F4761" w:themeColor="accent1" w:themeShade="BF"/>
      <w:spacing w:val="5"/>
    </w:rPr>
  </w:style>
  <w:style w:type="paragraph" w:styleId="Revisin">
    <w:name w:val="Revision"/>
    <w:hidden/>
    <w:uiPriority w:val="99"/>
    <w:semiHidden/>
    <w:rsid w:val="00010DE0"/>
    <w:pPr>
      <w:spacing w:after="0" w:line="240" w:lineRule="auto"/>
    </w:pPr>
  </w:style>
  <w:style w:type="character" w:styleId="Refdecomentario">
    <w:name w:val="annotation reference"/>
    <w:basedOn w:val="Fuentedeprrafopredeter"/>
    <w:uiPriority w:val="99"/>
    <w:semiHidden/>
    <w:unhideWhenUsed/>
    <w:rsid w:val="008923C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8923C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8923C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923C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923C6"/>
    <w:rPr>
      <w:b/>
      <w:bCs/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46647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66479"/>
  </w:style>
  <w:style w:type="paragraph" w:styleId="Piedepgina">
    <w:name w:val="footer"/>
    <w:basedOn w:val="Normal"/>
    <w:link w:val="PiedepginaCar"/>
    <w:uiPriority w:val="99"/>
    <w:unhideWhenUsed/>
    <w:rsid w:val="0046647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66479"/>
  </w:style>
  <w:style w:type="paragraph" w:styleId="Textonotapie">
    <w:name w:val="footnote text"/>
    <w:basedOn w:val="Normal"/>
    <w:link w:val="TextonotapieCar"/>
    <w:rsid w:val="0046647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character" w:customStyle="1" w:styleId="TextonotapieCar">
    <w:name w:val="Texto nota pie Car"/>
    <w:basedOn w:val="Fuentedeprrafopredeter"/>
    <w:link w:val="Textonotapie"/>
    <w:rsid w:val="00466479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749</Words>
  <Characters>4123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Sánchez Carbajo, María Teresa</dc:creator>
  <cp:keywords/>
  <dc:description/>
  <cp:lastModifiedBy>Vázquez Doiro, Ana Isabel</cp:lastModifiedBy>
  <cp:revision>2</cp:revision>
  <dcterms:created xsi:type="dcterms:W3CDTF">2025-12-26T11:54:00Z</dcterms:created>
  <dcterms:modified xsi:type="dcterms:W3CDTF">2025-12-26T11:54:00Z</dcterms:modified>
</cp:coreProperties>
</file>